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B3EDB" w14:textId="18DBF6E9" w:rsidR="003C05A6" w:rsidRPr="003C05A6" w:rsidRDefault="003C05A6" w:rsidP="003C05A6">
      <w:pPr>
        <w:rPr>
          <w:rFonts w:ascii="Times New Roman" w:hAnsi="Times New Roman" w:cs="Times New Roman"/>
          <w:b/>
          <w:bCs/>
          <w:lang w:val="en-IN"/>
        </w:rPr>
      </w:pPr>
      <w:r w:rsidRPr="003C05A6">
        <w:rPr>
          <w:rFonts w:ascii="Times New Roman" w:hAnsi="Times New Roman" w:cs="Times New Roman"/>
          <w:b/>
          <w:bCs/>
          <w:lang w:val="en-IN"/>
        </w:rPr>
        <w:t>Supplementary Table 1. Genome-wide association study (GWAS) datasets used for Mendelian randomization analyses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374"/>
        <w:gridCol w:w="1184"/>
        <w:gridCol w:w="1158"/>
        <w:gridCol w:w="745"/>
        <w:gridCol w:w="664"/>
        <w:gridCol w:w="819"/>
        <w:gridCol w:w="841"/>
        <w:gridCol w:w="1173"/>
        <w:gridCol w:w="1058"/>
      </w:tblGrid>
      <w:tr w:rsidR="003C05A6" w:rsidRPr="003C05A6" w14:paraId="4BC75D69" w14:textId="77777777" w:rsidTr="003C05A6">
        <w:tc>
          <w:tcPr>
            <w:tcW w:w="0" w:type="auto"/>
            <w:hideMark/>
          </w:tcPr>
          <w:p w14:paraId="652762B3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3C05A6">
              <w:rPr>
                <w:rFonts w:ascii="Times New Roman" w:hAnsi="Times New Roman" w:cs="Times New Roman"/>
                <w:b/>
                <w:bCs/>
                <w:lang w:val="en-IN"/>
              </w:rPr>
              <w:t>Trait / Exposure</w:t>
            </w:r>
          </w:p>
        </w:tc>
        <w:tc>
          <w:tcPr>
            <w:tcW w:w="0" w:type="auto"/>
            <w:hideMark/>
          </w:tcPr>
          <w:p w14:paraId="330252B5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3C05A6">
              <w:rPr>
                <w:rFonts w:ascii="Times New Roman" w:hAnsi="Times New Roman" w:cs="Times New Roman"/>
                <w:b/>
                <w:bCs/>
                <w:lang w:val="en-IN"/>
              </w:rPr>
              <w:t>GWAS ID (</w:t>
            </w:r>
            <w:proofErr w:type="spellStart"/>
            <w:r w:rsidRPr="003C05A6">
              <w:rPr>
                <w:rFonts w:ascii="Times New Roman" w:hAnsi="Times New Roman" w:cs="Times New Roman"/>
                <w:b/>
                <w:bCs/>
                <w:lang w:val="en-IN"/>
              </w:rPr>
              <w:t>OpenGWAS</w:t>
            </w:r>
            <w:proofErr w:type="spellEnd"/>
            <w:r w:rsidRPr="003C05A6">
              <w:rPr>
                <w:rFonts w:ascii="Times New Roman" w:hAnsi="Times New Roman" w:cs="Times New Roman"/>
                <w:b/>
                <w:bCs/>
                <w:lang w:val="en-IN"/>
              </w:rPr>
              <w:t>)</w:t>
            </w:r>
          </w:p>
        </w:tc>
        <w:tc>
          <w:tcPr>
            <w:tcW w:w="0" w:type="auto"/>
            <w:hideMark/>
          </w:tcPr>
          <w:p w14:paraId="7B2BAFE2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3C05A6">
              <w:rPr>
                <w:rFonts w:ascii="Times New Roman" w:hAnsi="Times New Roman" w:cs="Times New Roman"/>
                <w:b/>
                <w:bCs/>
                <w:lang w:val="en-IN"/>
              </w:rPr>
              <w:t>Consortium / Source</w:t>
            </w:r>
          </w:p>
        </w:tc>
        <w:tc>
          <w:tcPr>
            <w:tcW w:w="0" w:type="auto"/>
            <w:hideMark/>
          </w:tcPr>
          <w:p w14:paraId="560771E7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3C05A6">
              <w:rPr>
                <w:rFonts w:ascii="Times New Roman" w:hAnsi="Times New Roman" w:cs="Times New Roman"/>
                <w:b/>
                <w:bCs/>
                <w:lang w:val="en-IN"/>
              </w:rPr>
              <w:t>Sample Size (N)</w:t>
            </w:r>
          </w:p>
        </w:tc>
        <w:tc>
          <w:tcPr>
            <w:tcW w:w="0" w:type="auto"/>
            <w:hideMark/>
          </w:tcPr>
          <w:p w14:paraId="76A98E0C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3C05A6">
              <w:rPr>
                <w:rFonts w:ascii="Times New Roman" w:hAnsi="Times New Roman" w:cs="Times New Roman"/>
                <w:b/>
                <w:bCs/>
                <w:lang w:val="en-IN"/>
              </w:rPr>
              <w:t>Cases</w:t>
            </w:r>
          </w:p>
        </w:tc>
        <w:tc>
          <w:tcPr>
            <w:tcW w:w="0" w:type="auto"/>
            <w:hideMark/>
          </w:tcPr>
          <w:p w14:paraId="61BB481C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3C05A6">
              <w:rPr>
                <w:rFonts w:ascii="Times New Roman" w:hAnsi="Times New Roman" w:cs="Times New Roman"/>
                <w:b/>
                <w:bCs/>
                <w:lang w:val="en-IN"/>
              </w:rPr>
              <w:t>Controls</w:t>
            </w:r>
          </w:p>
        </w:tc>
        <w:tc>
          <w:tcPr>
            <w:tcW w:w="0" w:type="auto"/>
            <w:hideMark/>
          </w:tcPr>
          <w:p w14:paraId="68CA4DC9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3C05A6">
              <w:rPr>
                <w:rFonts w:ascii="Times New Roman" w:hAnsi="Times New Roman" w:cs="Times New Roman"/>
                <w:b/>
                <w:bCs/>
                <w:lang w:val="en-IN"/>
              </w:rPr>
              <w:t>Ancestry</w:t>
            </w:r>
          </w:p>
        </w:tc>
        <w:tc>
          <w:tcPr>
            <w:tcW w:w="0" w:type="auto"/>
            <w:hideMark/>
          </w:tcPr>
          <w:p w14:paraId="3416FC46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3C05A6">
              <w:rPr>
                <w:rFonts w:ascii="Times New Roman" w:hAnsi="Times New Roman" w:cs="Times New Roman"/>
                <w:b/>
                <w:bCs/>
                <w:lang w:val="en-IN"/>
              </w:rPr>
              <w:t>Unit of Measurement</w:t>
            </w:r>
          </w:p>
        </w:tc>
        <w:tc>
          <w:tcPr>
            <w:tcW w:w="0" w:type="auto"/>
            <w:hideMark/>
          </w:tcPr>
          <w:p w14:paraId="70D8E49D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3C05A6">
              <w:rPr>
                <w:rFonts w:ascii="Times New Roman" w:hAnsi="Times New Roman" w:cs="Times New Roman"/>
                <w:b/>
                <w:bCs/>
                <w:lang w:val="en-IN"/>
              </w:rPr>
              <w:t>Notes</w:t>
            </w:r>
          </w:p>
        </w:tc>
      </w:tr>
      <w:tr w:rsidR="003C05A6" w:rsidRPr="003C05A6" w14:paraId="66C65F1E" w14:textId="77777777" w:rsidTr="003C05A6">
        <w:tc>
          <w:tcPr>
            <w:tcW w:w="0" w:type="auto"/>
            <w:hideMark/>
          </w:tcPr>
          <w:p w14:paraId="3A576115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proofErr w:type="spellStart"/>
            <w:r w:rsidRPr="003C05A6">
              <w:rPr>
                <w:rFonts w:ascii="Times New Roman" w:hAnsi="Times New Roman" w:cs="Times New Roman"/>
                <w:lang w:val="en-IN"/>
              </w:rPr>
              <w:t>Estradiol</w:t>
            </w:r>
            <w:proofErr w:type="spellEnd"/>
            <w:r w:rsidRPr="003C05A6">
              <w:rPr>
                <w:rFonts w:ascii="Times New Roman" w:hAnsi="Times New Roman" w:cs="Times New Roman"/>
                <w:lang w:val="en-IN"/>
              </w:rPr>
              <w:t xml:space="preserve"> (E2)</w:t>
            </w:r>
          </w:p>
        </w:tc>
        <w:tc>
          <w:tcPr>
            <w:tcW w:w="0" w:type="auto"/>
            <w:hideMark/>
          </w:tcPr>
          <w:p w14:paraId="45343799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ieu-a-1116</w:t>
            </w:r>
          </w:p>
        </w:tc>
        <w:tc>
          <w:tcPr>
            <w:tcW w:w="0" w:type="auto"/>
            <w:hideMark/>
          </w:tcPr>
          <w:p w14:paraId="7F45C1AB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UK Biobank Hormone GWAS</w:t>
            </w:r>
          </w:p>
        </w:tc>
        <w:tc>
          <w:tcPr>
            <w:tcW w:w="0" w:type="auto"/>
            <w:hideMark/>
          </w:tcPr>
          <w:p w14:paraId="3223BC33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163,985</w:t>
            </w:r>
          </w:p>
        </w:tc>
        <w:tc>
          <w:tcPr>
            <w:tcW w:w="0" w:type="auto"/>
            <w:hideMark/>
          </w:tcPr>
          <w:p w14:paraId="1FF7CCC4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–</w:t>
            </w:r>
          </w:p>
        </w:tc>
        <w:tc>
          <w:tcPr>
            <w:tcW w:w="0" w:type="auto"/>
            <w:hideMark/>
          </w:tcPr>
          <w:p w14:paraId="007745B0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–</w:t>
            </w:r>
          </w:p>
        </w:tc>
        <w:tc>
          <w:tcPr>
            <w:tcW w:w="0" w:type="auto"/>
            <w:hideMark/>
          </w:tcPr>
          <w:p w14:paraId="7AB9132D" w14:textId="4363B046" w:rsidR="003C05A6" w:rsidRPr="003C05A6" w:rsidRDefault="004E210A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4E210A">
              <w:rPr>
                <w:rFonts w:ascii="Times New Roman" w:hAnsi="Times New Roman" w:cs="Times New Roman"/>
                <w:lang w:val="en-IN"/>
              </w:rPr>
              <w:t>Chinese</w:t>
            </w:r>
          </w:p>
        </w:tc>
        <w:tc>
          <w:tcPr>
            <w:tcW w:w="0" w:type="auto"/>
            <w:hideMark/>
          </w:tcPr>
          <w:p w14:paraId="2921A5ED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 xml:space="preserve">SD increase in circulating </w:t>
            </w:r>
            <w:proofErr w:type="spellStart"/>
            <w:r w:rsidRPr="003C05A6">
              <w:rPr>
                <w:rFonts w:ascii="Times New Roman" w:hAnsi="Times New Roman" w:cs="Times New Roman"/>
                <w:lang w:val="en-IN"/>
              </w:rPr>
              <w:t>estradiol</w:t>
            </w:r>
            <w:proofErr w:type="spellEnd"/>
          </w:p>
        </w:tc>
        <w:tc>
          <w:tcPr>
            <w:tcW w:w="0" w:type="auto"/>
            <w:hideMark/>
          </w:tcPr>
          <w:p w14:paraId="0AE74ECA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Sex-stratified analysis (female subset)</w:t>
            </w:r>
          </w:p>
        </w:tc>
      </w:tr>
      <w:tr w:rsidR="003C05A6" w:rsidRPr="003C05A6" w14:paraId="06D9F3B4" w14:textId="77777777" w:rsidTr="003C05A6">
        <w:tc>
          <w:tcPr>
            <w:tcW w:w="0" w:type="auto"/>
            <w:hideMark/>
          </w:tcPr>
          <w:p w14:paraId="633BE387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Total Testosterone (TT)</w:t>
            </w:r>
          </w:p>
        </w:tc>
        <w:tc>
          <w:tcPr>
            <w:tcW w:w="0" w:type="auto"/>
            <w:hideMark/>
          </w:tcPr>
          <w:p w14:paraId="0B94A5E3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ieu-a-1115</w:t>
            </w:r>
          </w:p>
        </w:tc>
        <w:tc>
          <w:tcPr>
            <w:tcW w:w="0" w:type="auto"/>
            <w:hideMark/>
          </w:tcPr>
          <w:p w14:paraId="60ACA1E5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UK Biobank / Neale Lab</w:t>
            </w:r>
          </w:p>
        </w:tc>
        <w:tc>
          <w:tcPr>
            <w:tcW w:w="0" w:type="auto"/>
            <w:hideMark/>
          </w:tcPr>
          <w:p w14:paraId="59CBC361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230,454</w:t>
            </w:r>
          </w:p>
        </w:tc>
        <w:tc>
          <w:tcPr>
            <w:tcW w:w="0" w:type="auto"/>
            <w:hideMark/>
          </w:tcPr>
          <w:p w14:paraId="79133D5F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–</w:t>
            </w:r>
          </w:p>
        </w:tc>
        <w:tc>
          <w:tcPr>
            <w:tcW w:w="0" w:type="auto"/>
            <w:hideMark/>
          </w:tcPr>
          <w:p w14:paraId="72265D3F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–</w:t>
            </w:r>
          </w:p>
        </w:tc>
        <w:tc>
          <w:tcPr>
            <w:tcW w:w="0" w:type="auto"/>
            <w:hideMark/>
          </w:tcPr>
          <w:p w14:paraId="44D41DEB" w14:textId="479E5E9A" w:rsidR="003C05A6" w:rsidRPr="003C05A6" w:rsidRDefault="004E210A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4E210A">
              <w:rPr>
                <w:rFonts w:ascii="Times New Roman" w:hAnsi="Times New Roman" w:cs="Times New Roman"/>
                <w:lang w:val="en-IN"/>
              </w:rPr>
              <w:t>Chinese</w:t>
            </w:r>
          </w:p>
        </w:tc>
        <w:tc>
          <w:tcPr>
            <w:tcW w:w="0" w:type="auto"/>
            <w:hideMark/>
          </w:tcPr>
          <w:p w14:paraId="188C86BB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SD increase in testosterone</w:t>
            </w:r>
          </w:p>
        </w:tc>
        <w:tc>
          <w:tcPr>
            <w:tcW w:w="0" w:type="auto"/>
            <w:hideMark/>
          </w:tcPr>
          <w:p w14:paraId="62197CE9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Adjusted for age, PCs, batch</w:t>
            </w:r>
          </w:p>
        </w:tc>
      </w:tr>
      <w:tr w:rsidR="003C05A6" w:rsidRPr="003C05A6" w14:paraId="262B0666" w14:textId="77777777" w:rsidTr="003C05A6">
        <w:tc>
          <w:tcPr>
            <w:tcW w:w="0" w:type="auto"/>
            <w:hideMark/>
          </w:tcPr>
          <w:p w14:paraId="7266F9EF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Free/Bioavailable Testosterone (FT)</w:t>
            </w:r>
          </w:p>
        </w:tc>
        <w:tc>
          <w:tcPr>
            <w:tcW w:w="0" w:type="auto"/>
            <w:hideMark/>
          </w:tcPr>
          <w:p w14:paraId="738F32D8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ieu-a-1117</w:t>
            </w:r>
          </w:p>
        </w:tc>
        <w:tc>
          <w:tcPr>
            <w:tcW w:w="0" w:type="auto"/>
            <w:hideMark/>
          </w:tcPr>
          <w:p w14:paraId="579E6D65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UK Biobank Hormone GWAS</w:t>
            </w:r>
          </w:p>
        </w:tc>
        <w:tc>
          <w:tcPr>
            <w:tcW w:w="0" w:type="auto"/>
            <w:hideMark/>
          </w:tcPr>
          <w:p w14:paraId="73D7AF4E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225,097</w:t>
            </w:r>
          </w:p>
        </w:tc>
        <w:tc>
          <w:tcPr>
            <w:tcW w:w="0" w:type="auto"/>
            <w:hideMark/>
          </w:tcPr>
          <w:p w14:paraId="346D2797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–</w:t>
            </w:r>
          </w:p>
        </w:tc>
        <w:tc>
          <w:tcPr>
            <w:tcW w:w="0" w:type="auto"/>
            <w:hideMark/>
          </w:tcPr>
          <w:p w14:paraId="5A94A731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–</w:t>
            </w:r>
          </w:p>
        </w:tc>
        <w:tc>
          <w:tcPr>
            <w:tcW w:w="0" w:type="auto"/>
            <w:hideMark/>
          </w:tcPr>
          <w:p w14:paraId="13DEECC1" w14:textId="7DD2E1AD" w:rsidR="003C05A6" w:rsidRPr="003C05A6" w:rsidRDefault="004E210A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4E210A">
              <w:rPr>
                <w:rFonts w:ascii="Times New Roman" w:hAnsi="Times New Roman" w:cs="Times New Roman"/>
                <w:lang w:val="en-IN"/>
              </w:rPr>
              <w:t>Chinese</w:t>
            </w:r>
          </w:p>
        </w:tc>
        <w:tc>
          <w:tcPr>
            <w:tcW w:w="0" w:type="auto"/>
            <w:hideMark/>
          </w:tcPr>
          <w:p w14:paraId="6A2D5571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Calculated free testosterone</w:t>
            </w:r>
          </w:p>
        </w:tc>
        <w:tc>
          <w:tcPr>
            <w:tcW w:w="0" w:type="auto"/>
            <w:hideMark/>
          </w:tcPr>
          <w:p w14:paraId="6833CC21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Derived using SHBG levels</w:t>
            </w:r>
          </w:p>
        </w:tc>
      </w:tr>
      <w:tr w:rsidR="003C05A6" w:rsidRPr="003C05A6" w14:paraId="6D4CC77F" w14:textId="77777777" w:rsidTr="003C05A6">
        <w:tc>
          <w:tcPr>
            <w:tcW w:w="0" w:type="auto"/>
            <w:hideMark/>
          </w:tcPr>
          <w:p w14:paraId="5BA14CEC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Oestrone (E1)</w:t>
            </w:r>
          </w:p>
        </w:tc>
        <w:tc>
          <w:tcPr>
            <w:tcW w:w="0" w:type="auto"/>
            <w:hideMark/>
          </w:tcPr>
          <w:p w14:paraId="5610D9B7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ieu-b-4876</w:t>
            </w:r>
          </w:p>
        </w:tc>
        <w:tc>
          <w:tcPr>
            <w:tcW w:w="0" w:type="auto"/>
            <w:hideMark/>
          </w:tcPr>
          <w:p w14:paraId="5F7D3578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International Hormone Consortium</w:t>
            </w:r>
          </w:p>
        </w:tc>
        <w:tc>
          <w:tcPr>
            <w:tcW w:w="0" w:type="auto"/>
            <w:hideMark/>
          </w:tcPr>
          <w:p w14:paraId="61791D53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58,912</w:t>
            </w:r>
          </w:p>
        </w:tc>
        <w:tc>
          <w:tcPr>
            <w:tcW w:w="0" w:type="auto"/>
            <w:hideMark/>
          </w:tcPr>
          <w:p w14:paraId="7E66E618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–</w:t>
            </w:r>
          </w:p>
        </w:tc>
        <w:tc>
          <w:tcPr>
            <w:tcW w:w="0" w:type="auto"/>
            <w:hideMark/>
          </w:tcPr>
          <w:p w14:paraId="4C962AF7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–</w:t>
            </w:r>
          </w:p>
        </w:tc>
        <w:tc>
          <w:tcPr>
            <w:tcW w:w="0" w:type="auto"/>
            <w:hideMark/>
          </w:tcPr>
          <w:p w14:paraId="37FB3680" w14:textId="1497CE73" w:rsidR="003C05A6" w:rsidRPr="003C05A6" w:rsidRDefault="004E210A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4E210A">
              <w:rPr>
                <w:rFonts w:ascii="Times New Roman" w:hAnsi="Times New Roman" w:cs="Times New Roman"/>
                <w:lang w:val="en-IN"/>
              </w:rPr>
              <w:t>Chinese</w:t>
            </w:r>
          </w:p>
        </w:tc>
        <w:tc>
          <w:tcPr>
            <w:tcW w:w="0" w:type="auto"/>
            <w:hideMark/>
          </w:tcPr>
          <w:p w14:paraId="3B668E23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SD increase in circulating oestrone</w:t>
            </w:r>
          </w:p>
        </w:tc>
        <w:tc>
          <w:tcPr>
            <w:tcW w:w="0" w:type="auto"/>
            <w:hideMark/>
          </w:tcPr>
          <w:p w14:paraId="6867B30C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Female-specific GWAS</w:t>
            </w:r>
          </w:p>
        </w:tc>
      </w:tr>
      <w:tr w:rsidR="003C05A6" w:rsidRPr="003C05A6" w14:paraId="1C8C8C95" w14:textId="77777777" w:rsidTr="003C05A6">
        <w:tc>
          <w:tcPr>
            <w:tcW w:w="0" w:type="auto"/>
            <w:hideMark/>
          </w:tcPr>
          <w:p w14:paraId="358E41CF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Sex Hormone–Binding Globulin (SHBG)</w:t>
            </w:r>
          </w:p>
        </w:tc>
        <w:tc>
          <w:tcPr>
            <w:tcW w:w="0" w:type="auto"/>
            <w:hideMark/>
          </w:tcPr>
          <w:p w14:paraId="2D7F609E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ieu-a-30</w:t>
            </w:r>
          </w:p>
        </w:tc>
        <w:tc>
          <w:tcPr>
            <w:tcW w:w="0" w:type="auto"/>
            <w:hideMark/>
          </w:tcPr>
          <w:p w14:paraId="0AAA4CA4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 xml:space="preserve">UK Biobank / IEU </w:t>
            </w:r>
            <w:proofErr w:type="spellStart"/>
            <w:r w:rsidRPr="003C05A6">
              <w:rPr>
                <w:rFonts w:ascii="Times New Roman" w:hAnsi="Times New Roman" w:cs="Times New Roman"/>
                <w:lang w:val="en-IN"/>
              </w:rPr>
              <w:t>OpenGWAS</w:t>
            </w:r>
            <w:proofErr w:type="spellEnd"/>
          </w:p>
        </w:tc>
        <w:tc>
          <w:tcPr>
            <w:tcW w:w="0" w:type="auto"/>
            <w:hideMark/>
          </w:tcPr>
          <w:p w14:paraId="424AEEBE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214,989</w:t>
            </w:r>
          </w:p>
        </w:tc>
        <w:tc>
          <w:tcPr>
            <w:tcW w:w="0" w:type="auto"/>
            <w:hideMark/>
          </w:tcPr>
          <w:p w14:paraId="4FB5CD95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–</w:t>
            </w:r>
          </w:p>
        </w:tc>
        <w:tc>
          <w:tcPr>
            <w:tcW w:w="0" w:type="auto"/>
            <w:hideMark/>
          </w:tcPr>
          <w:p w14:paraId="0C9CAFD0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–</w:t>
            </w:r>
          </w:p>
        </w:tc>
        <w:tc>
          <w:tcPr>
            <w:tcW w:w="0" w:type="auto"/>
            <w:hideMark/>
          </w:tcPr>
          <w:p w14:paraId="72117A81" w14:textId="7D5EC328" w:rsidR="003C05A6" w:rsidRPr="003C05A6" w:rsidRDefault="004E210A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4E210A">
              <w:rPr>
                <w:rFonts w:ascii="Times New Roman" w:hAnsi="Times New Roman" w:cs="Times New Roman"/>
                <w:lang w:val="en-IN"/>
              </w:rPr>
              <w:t>Chinese</w:t>
            </w:r>
          </w:p>
        </w:tc>
        <w:tc>
          <w:tcPr>
            <w:tcW w:w="0" w:type="auto"/>
            <w:hideMark/>
          </w:tcPr>
          <w:p w14:paraId="23958CB1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SD increase in SHBG</w:t>
            </w:r>
          </w:p>
        </w:tc>
        <w:tc>
          <w:tcPr>
            <w:tcW w:w="0" w:type="auto"/>
            <w:hideMark/>
          </w:tcPr>
          <w:p w14:paraId="3B433672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Strong genetic instruments</w:t>
            </w:r>
          </w:p>
        </w:tc>
      </w:tr>
      <w:tr w:rsidR="003C05A6" w:rsidRPr="003C05A6" w14:paraId="712D8C2E" w14:textId="77777777" w:rsidTr="003C05A6">
        <w:tc>
          <w:tcPr>
            <w:tcW w:w="0" w:type="auto"/>
            <w:hideMark/>
          </w:tcPr>
          <w:p w14:paraId="56F9E973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Endometriosis</w:t>
            </w:r>
          </w:p>
        </w:tc>
        <w:tc>
          <w:tcPr>
            <w:tcW w:w="0" w:type="auto"/>
            <w:hideMark/>
          </w:tcPr>
          <w:p w14:paraId="4C7DB8E5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ieu-b-4821</w:t>
            </w:r>
          </w:p>
        </w:tc>
        <w:tc>
          <w:tcPr>
            <w:tcW w:w="0" w:type="auto"/>
            <w:hideMark/>
          </w:tcPr>
          <w:p w14:paraId="0E2AF40C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International Endometriosis Consortium (IEC)</w:t>
            </w:r>
          </w:p>
        </w:tc>
        <w:tc>
          <w:tcPr>
            <w:tcW w:w="0" w:type="auto"/>
            <w:hideMark/>
          </w:tcPr>
          <w:p w14:paraId="20E13572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245,494</w:t>
            </w:r>
          </w:p>
        </w:tc>
        <w:tc>
          <w:tcPr>
            <w:tcW w:w="0" w:type="auto"/>
            <w:hideMark/>
          </w:tcPr>
          <w:p w14:paraId="7ACC1C05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17,045</w:t>
            </w:r>
          </w:p>
        </w:tc>
        <w:tc>
          <w:tcPr>
            <w:tcW w:w="0" w:type="auto"/>
            <w:hideMark/>
          </w:tcPr>
          <w:p w14:paraId="035BE235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228,449</w:t>
            </w:r>
          </w:p>
        </w:tc>
        <w:tc>
          <w:tcPr>
            <w:tcW w:w="0" w:type="auto"/>
            <w:hideMark/>
          </w:tcPr>
          <w:p w14:paraId="7701BE6D" w14:textId="4A7057AA" w:rsidR="003C05A6" w:rsidRPr="003C05A6" w:rsidRDefault="004E210A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4E210A">
              <w:rPr>
                <w:rFonts w:ascii="Times New Roman" w:hAnsi="Times New Roman" w:cs="Times New Roman"/>
                <w:lang w:val="en-IN"/>
              </w:rPr>
              <w:t>Chinese</w:t>
            </w:r>
          </w:p>
        </w:tc>
        <w:tc>
          <w:tcPr>
            <w:tcW w:w="0" w:type="auto"/>
            <w:hideMark/>
          </w:tcPr>
          <w:p w14:paraId="18F35E20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Binary disease outcome</w:t>
            </w:r>
          </w:p>
        </w:tc>
        <w:tc>
          <w:tcPr>
            <w:tcW w:w="0" w:type="auto"/>
            <w:hideMark/>
          </w:tcPr>
          <w:p w14:paraId="4B6EB549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Diagnosed via ICD codes or surgical confirmation</w:t>
            </w:r>
          </w:p>
        </w:tc>
      </w:tr>
      <w:tr w:rsidR="003C05A6" w:rsidRPr="003C05A6" w14:paraId="18DB2D70" w14:textId="77777777" w:rsidTr="003C05A6">
        <w:tc>
          <w:tcPr>
            <w:tcW w:w="0" w:type="auto"/>
            <w:hideMark/>
          </w:tcPr>
          <w:p w14:paraId="7B67B8AB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Body Mass Index (BMI)*</w:t>
            </w:r>
          </w:p>
        </w:tc>
        <w:tc>
          <w:tcPr>
            <w:tcW w:w="0" w:type="auto"/>
            <w:hideMark/>
          </w:tcPr>
          <w:p w14:paraId="552470FB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ieu-a-2</w:t>
            </w:r>
          </w:p>
        </w:tc>
        <w:tc>
          <w:tcPr>
            <w:tcW w:w="0" w:type="auto"/>
            <w:hideMark/>
          </w:tcPr>
          <w:p w14:paraId="720F2692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GIANT Consortium</w:t>
            </w:r>
          </w:p>
        </w:tc>
        <w:tc>
          <w:tcPr>
            <w:tcW w:w="0" w:type="auto"/>
            <w:hideMark/>
          </w:tcPr>
          <w:p w14:paraId="4A47A3A1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681,275</w:t>
            </w:r>
          </w:p>
        </w:tc>
        <w:tc>
          <w:tcPr>
            <w:tcW w:w="0" w:type="auto"/>
            <w:hideMark/>
          </w:tcPr>
          <w:p w14:paraId="395D233E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–</w:t>
            </w:r>
          </w:p>
        </w:tc>
        <w:tc>
          <w:tcPr>
            <w:tcW w:w="0" w:type="auto"/>
            <w:hideMark/>
          </w:tcPr>
          <w:p w14:paraId="451DCD80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–</w:t>
            </w:r>
          </w:p>
        </w:tc>
        <w:tc>
          <w:tcPr>
            <w:tcW w:w="0" w:type="auto"/>
            <w:hideMark/>
          </w:tcPr>
          <w:p w14:paraId="23618862" w14:textId="200CB336" w:rsidR="003C05A6" w:rsidRPr="003C05A6" w:rsidRDefault="004E210A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4E210A">
              <w:rPr>
                <w:rFonts w:ascii="Times New Roman" w:hAnsi="Times New Roman" w:cs="Times New Roman"/>
                <w:lang w:val="en-IN"/>
              </w:rPr>
              <w:t>Chinese</w:t>
            </w:r>
            <w:bookmarkStart w:id="0" w:name="_GoBack"/>
            <w:bookmarkEnd w:id="0"/>
          </w:p>
        </w:tc>
        <w:tc>
          <w:tcPr>
            <w:tcW w:w="0" w:type="auto"/>
            <w:hideMark/>
          </w:tcPr>
          <w:p w14:paraId="6FB9EC1E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  <w:r w:rsidRPr="003C05A6">
              <w:rPr>
                <w:rFonts w:ascii="Times New Roman" w:hAnsi="Times New Roman" w:cs="Times New Roman"/>
                <w:lang w:val="en-IN"/>
              </w:rPr>
              <w:t>SD increase in BMI</w:t>
            </w:r>
          </w:p>
        </w:tc>
        <w:tc>
          <w:tcPr>
            <w:tcW w:w="0" w:type="auto"/>
            <w:hideMark/>
          </w:tcPr>
          <w:p w14:paraId="4AA436E8" w14:textId="77777777" w:rsidR="003C05A6" w:rsidRPr="003C05A6" w:rsidRDefault="003C05A6" w:rsidP="003C05A6">
            <w:pPr>
              <w:spacing w:after="160"/>
              <w:rPr>
                <w:rFonts w:ascii="Times New Roman" w:hAnsi="Times New Roman" w:cs="Times New Roman"/>
                <w:lang w:val="en-IN"/>
              </w:rPr>
            </w:pPr>
          </w:p>
        </w:tc>
      </w:tr>
    </w:tbl>
    <w:p w14:paraId="6E2CE558" w14:textId="77777777" w:rsidR="001B5CC2" w:rsidRDefault="001B5CC2"/>
    <w:sectPr w:rsidR="001B5C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5A6"/>
    <w:rsid w:val="001B5CC2"/>
    <w:rsid w:val="0028496B"/>
    <w:rsid w:val="003C05A6"/>
    <w:rsid w:val="00417FF8"/>
    <w:rsid w:val="004E210A"/>
    <w:rsid w:val="00545DFB"/>
    <w:rsid w:val="00700F4F"/>
    <w:rsid w:val="00F6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8EB15"/>
  <w15:chartTrackingRefBased/>
  <w15:docId w15:val="{D39AE0F7-2C0C-4086-B2AB-127915B8E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C05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05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05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05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05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05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05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05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05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C05A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20">
    <w:name w:val="标题 2 字符"/>
    <w:basedOn w:val="a0"/>
    <w:link w:val="2"/>
    <w:uiPriority w:val="9"/>
    <w:semiHidden/>
    <w:rsid w:val="003C05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30">
    <w:name w:val="标题 3 字符"/>
    <w:basedOn w:val="a0"/>
    <w:link w:val="3"/>
    <w:uiPriority w:val="9"/>
    <w:semiHidden/>
    <w:rsid w:val="003C05A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40">
    <w:name w:val="标题 4 字符"/>
    <w:basedOn w:val="a0"/>
    <w:link w:val="4"/>
    <w:uiPriority w:val="9"/>
    <w:semiHidden/>
    <w:rsid w:val="003C05A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50">
    <w:name w:val="标题 5 字符"/>
    <w:basedOn w:val="a0"/>
    <w:link w:val="5"/>
    <w:uiPriority w:val="9"/>
    <w:semiHidden/>
    <w:rsid w:val="003C05A6"/>
    <w:rPr>
      <w:rFonts w:eastAsiaTheme="majorEastAsia" w:cstheme="majorBidi"/>
      <w:color w:val="2F5496" w:themeColor="accent1" w:themeShade="BF"/>
      <w:lang w:val="en-US"/>
    </w:rPr>
  </w:style>
  <w:style w:type="character" w:customStyle="1" w:styleId="60">
    <w:name w:val="标题 6 字符"/>
    <w:basedOn w:val="a0"/>
    <w:link w:val="6"/>
    <w:uiPriority w:val="9"/>
    <w:semiHidden/>
    <w:rsid w:val="003C05A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70">
    <w:name w:val="标题 7 字符"/>
    <w:basedOn w:val="a0"/>
    <w:link w:val="7"/>
    <w:uiPriority w:val="9"/>
    <w:semiHidden/>
    <w:rsid w:val="003C05A6"/>
    <w:rPr>
      <w:rFonts w:eastAsiaTheme="majorEastAsia" w:cstheme="majorBidi"/>
      <w:color w:val="595959" w:themeColor="text1" w:themeTint="A6"/>
      <w:lang w:val="en-US"/>
    </w:rPr>
  </w:style>
  <w:style w:type="character" w:customStyle="1" w:styleId="80">
    <w:name w:val="标题 8 字符"/>
    <w:basedOn w:val="a0"/>
    <w:link w:val="8"/>
    <w:uiPriority w:val="9"/>
    <w:semiHidden/>
    <w:rsid w:val="003C05A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90">
    <w:name w:val="标题 9 字符"/>
    <w:basedOn w:val="a0"/>
    <w:link w:val="9"/>
    <w:uiPriority w:val="9"/>
    <w:semiHidden/>
    <w:rsid w:val="003C05A6"/>
    <w:rPr>
      <w:rFonts w:eastAsiaTheme="majorEastAsia" w:cstheme="majorBidi"/>
      <w:color w:val="272727" w:themeColor="text1" w:themeTint="D8"/>
      <w:lang w:val="en-US"/>
    </w:rPr>
  </w:style>
  <w:style w:type="paragraph" w:styleId="a3">
    <w:name w:val="Title"/>
    <w:basedOn w:val="a"/>
    <w:next w:val="a"/>
    <w:link w:val="a4"/>
    <w:uiPriority w:val="10"/>
    <w:qFormat/>
    <w:rsid w:val="003C05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C05A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a5">
    <w:name w:val="Subtitle"/>
    <w:basedOn w:val="a"/>
    <w:next w:val="a"/>
    <w:link w:val="a6"/>
    <w:uiPriority w:val="11"/>
    <w:qFormat/>
    <w:rsid w:val="003C05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C05A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a7">
    <w:name w:val="Quote"/>
    <w:basedOn w:val="a"/>
    <w:next w:val="a"/>
    <w:link w:val="a8"/>
    <w:uiPriority w:val="29"/>
    <w:qFormat/>
    <w:rsid w:val="003C05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C05A6"/>
    <w:rPr>
      <w:i/>
      <w:iCs/>
      <w:color w:val="404040" w:themeColor="text1" w:themeTint="BF"/>
      <w:lang w:val="en-US"/>
    </w:rPr>
  </w:style>
  <w:style w:type="paragraph" w:styleId="a9">
    <w:name w:val="List Paragraph"/>
    <w:basedOn w:val="a"/>
    <w:uiPriority w:val="34"/>
    <w:qFormat/>
    <w:rsid w:val="003C05A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C05A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C05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C05A6"/>
    <w:rPr>
      <w:i/>
      <w:iCs/>
      <w:color w:val="2F5496" w:themeColor="accent1" w:themeShade="BF"/>
      <w:lang w:val="en-US"/>
    </w:rPr>
  </w:style>
  <w:style w:type="character" w:styleId="ad">
    <w:name w:val="Intense Reference"/>
    <w:basedOn w:val="a0"/>
    <w:uiPriority w:val="32"/>
    <w:qFormat/>
    <w:rsid w:val="003C05A6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3C0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Editor G</dc:creator>
  <cp:keywords/>
  <dc:description/>
  <cp:lastModifiedBy>Minnie</cp:lastModifiedBy>
  <cp:revision>3</cp:revision>
  <dcterms:created xsi:type="dcterms:W3CDTF">2026-03-05T06:10:00Z</dcterms:created>
  <dcterms:modified xsi:type="dcterms:W3CDTF">2026-08-13T01:53:00Z</dcterms:modified>
</cp:coreProperties>
</file>